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P/16/015/LBC</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7 April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10 February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3 March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000192002408</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12 February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4 March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Paul Osborne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The </w:t>
            </w:r>
            <w:proofErr w:type="spellStart"/>
            <w:r w:rsidRPr="00E9095A">
              <w:rPr>
                <w:rFonts w:cs="Arial"/>
                <w:b/>
                <w:bCs/>
                <w:color w:val="000000"/>
                <w:sz w:val="18"/>
                <w:szCs w:val="18"/>
                <w:lang w:eastAsia="en-GB"/>
              </w:rPr>
              <w:t>Kavorna</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Bank</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0LL</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Change colour of window frames and sills; change colour of two front doors.</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Listed Building Consent</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 to for listed building consent to change the colour of the timber windows and doors on this Grade II listed building on Hugh Street, St Mary's.  The Building was added to the Statutory List in 1992, it is Grade II and listed for its Group Value dating from the 18th Century with 19th and 20th Century alterations.  Historic England describes the property as:</w:t>
      </w:r>
    </w:p>
    <w:p w:rsidR="00FB105E" w:rsidRPr="008E0EE1" w:rsidRDefault="00FB105E" w:rsidP="008E0EE1">
      <w:pPr>
        <w:autoSpaceDE w:val="0"/>
        <w:autoSpaceDN w:val="0"/>
        <w:spacing w:after="0" w:line="240" w:lineRule="auto"/>
        <w:ind w:left="426" w:right="544"/>
        <w:jc w:val="both"/>
        <w:rPr>
          <w:rFonts w:cs="Arial"/>
          <w:i/>
          <w:color w:val="000000"/>
          <w:lang w:eastAsia="en-GB"/>
        </w:rPr>
      </w:pPr>
      <w:r w:rsidRPr="008E0EE1">
        <w:rPr>
          <w:rFonts w:cs="Arial"/>
          <w:i/>
          <w:color w:val="000000"/>
          <w:lang w:eastAsia="en-GB"/>
        </w:rPr>
        <w:t xml:space="preserve">House, possibly originally 2 dwellings, now shop and flat. C18, with C19 and C20 alterations. Coursed granite rubble, with </w:t>
      </w:r>
      <w:proofErr w:type="spellStart"/>
      <w:r w:rsidRPr="008E0EE1">
        <w:rPr>
          <w:rFonts w:cs="Arial"/>
          <w:i/>
          <w:color w:val="000000"/>
          <w:lang w:eastAsia="en-GB"/>
        </w:rPr>
        <w:t>colourwashed</w:t>
      </w:r>
      <w:proofErr w:type="spellEnd"/>
      <w:r w:rsidRPr="008E0EE1">
        <w:rPr>
          <w:rFonts w:cs="Arial"/>
          <w:i/>
          <w:color w:val="000000"/>
          <w:lang w:eastAsia="en-GB"/>
        </w:rPr>
        <w:t xml:space="preserve"> render to front; gabled </w:t>
      </w:r>
      <w:proofErr w:type="spellStart"/>
      <w:r w:rsidRPr="008E0EE1">
        <w:rPr>
          <w:rFonts w:cs="Arial"/>
          <w:i/>
          <w:color w:val="000000"/>
          <w:lang w:eastAsia="en-GB"/>
        </w:rPr>
        <w:t>scantled</w:t>
      </w:r>
      <w:proofErr w:type="spellEnd"/>
      <w:r w:rsidRPr="008E0EE1">
        <w:rPr>
          <w:rFonts w:cs="Arial"/>
          <w:i/>
          <w:color w:val="000000"/>
          <w:lang w:eastAsia="en-GB"/>
        </w:rPr>
        <w:t xml:space="preserve"> slate roof; granite end stacks. L-plan with C18 rear left wing. 2 storeys; 4-window first-floor range. Ground floor has 2 inserted mid C20 segmental shop windows, 3/3-pane sash to right and 2 recessed doorways with half-glazed early C20 doors. Interior: plain C19 joists.</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building operates as a cafe/restaurant on the ground floor with residential accommodation on the first floor.  The property is located on the south side of Hugh Street within Hugh Town, adjacent to Lloyds Bank, which is also a grade II listed building to the north west side and to the Post Office (via a first floor connection only) which is a Grade II listed building on the south east side.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lastRenderedPageBreak/>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3F54BB" w:rsidP="00FB105E">
      <w:pPr>
        <w:autoSpaceDE w:val="0"/>
        <w:autoSpaceDN w:val="0"/>
        <w:spacing w:after="0" w:line="240" w:lineRule="auto"/>
        <w:jc w:val="both"/>
        <w:rPr>
          <w:rFonts w:cs="Arial"/>
          <w:color w:val="000000"/>
          <w:lang w:eastAsia="en-GB"/>
        </w:rPr>
      </w:pPr>
      <w:r>
        <w:rPr>
          <w:rFonts w:cs="Arial"/>
          <w:color w:val="000000"/>
          <w:lang w:eastAsia="en-GB"/>
        </w:rPr>
        <w:t xml:space="preserve">  </w:t>
      </w:r>
      <w:r w:rsidR="00FB105E"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FB105E" w:rsidP="003F54BB">
      <w:pPr>
        <w:autoSpaceDE w:val="0"/>
        <w:autoSpaceDN w:val="0"/>
        <w:spacing w:after="0" w:line="240" w:lineRule="auto"/>
        <w:ind w:left="3960" w:hanging="3960"/>
        <w:jc w:val="both"/>
        <w:rPr>
          <w:rFonts w:cs="Arial"/>
          <w:color w:val="000000"/>
          <w:lang w:eastAsia="en-GB"/>
        </w:rPr>
      </w:pPr>
      <w:r w:rsidRPr="00E9095A">
        <w:rPr>
          <w:rFonts w:cs="Arial"/>
          <w:color w:val="000000"/>
          <w:lang w:eastAsia="en-GB"/>
        </w:rPr>
        <w:tab/>
      </w:r>
      <w:bookmarkStart w:id="0" w:name="_GoBack"/>
      <w:bookmarkEnd w:id="0"/>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To ensure that all relevant future development proposals respect and protect the recognised quality of the islands' natural, archaeological, historic and built environment, they will be permitted only where, as applicable, they:  (c) Preserve or enhance the character or appearance of the Conservation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Area and preserve the architectural or historic interest of all listed buildings, including their features and settings.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As the property is included in the statutory list for its group value it is considered that the significance of this building lies in the external facade of the original 18th century design and construction.  Internally this building has been modernised to suit a modern standard restaurant and kitchen.  The roof retains its original </w:t>
      </w:r>
      <w:proofErr w:type="spellStart"/>
      <w:r w:rsidRPr="00E9095A">
        <w:rPr>
          <w:rFonts w:cs="Arial"/>
          <w:color w:val="000000"/>
          <w:lang w:eastAsia="en-GB"/>
        </w:rPr>
        <w:t>scantle</w:t>
      </w:r>
      <w:proofErr w:type="spellEnd"/>
      <w:r w:rsidRPr="00E9095A">
        <w:rPr>
          <w:rFonts w:cs="Arial"/>
          <w:color w:val="000000"/>
          <w:lang w:eastAsia="en-GB"/>
        </w:rPr>
        <w:t xml:space="preserve"> roof.  The shop windows are of a 20th century design.  Overall it is considered that the repainting of the doors and window of this building, in the specified colour 'DULUX 90GB 17/120' 'Calm' which is essentially a heritage grey colour, is acceptable as it would not result in any loss of or harm to the significance of this building.</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t>ANY ADDITIONAL INFORMATION:</w:t>
      </w:r>
    </w:p>
    <w:p w:rsidR="00FB105E" w:rsidRPr="00E9095A" w:rsidRDefault="00FB105E" w:rsidP="003F54BB">
      <w:pPr>
        <w:keepLines/>
        <w:widowControl w:val="0"/>
        <w:tabs>
          <w:tab w:val="left" w:pos="720"/>
        </w:tabs>
        <w:autoSpaceDE w:val="0"/>
        <w:autoSpaceDN w:val="0"/>
        <w:spacing w:after="0" w:line="240" w:lineRule="auto"/>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paragraphs 186 and 187 of the NPPF.</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2A" w:rsidRDefault="00FE5A2A" w:rsidP="0080677F">
      <w:pPr>
        <w:spacing w:after="0" w:line="240" w:lineRule="auto"/>
      </w:pPr>
      <w:r>
        <w:separator/>
      </w:r>
    </w:p>
  </w:endnote>
  <w:endnote w:type="continuationSeparator" w:id="0">
    <w:p w:rsidR="00FE5A2A" w:rsidRDefault="00FE5A2A"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2A" w:rsidRDefault="00FE5A2A" w:rsidP="0080677F">
      <w:pPr>
        <w:spacing w:after="0" w:line="240" w:lineRule="auto"/>
      </w:pPr>
      <w:r>
        <w:separator/>
      </w:r>
    </w:p>
  </w:footnote>
  <w:footnote w:type="continuationSeparator" w:id="0">
    <w:p w:rsidR="00FE5A2A" w:rsidRDefault="00FE5A2A"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253B87">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53B87"/>
    <w:rsid w:val="002765BB"/>
    <w:rsid w:val="003103EC"/>
    <w:rsid w:val="00313516"/>
    <w:rsid w:val="00331831"/>
    <w:rsid w:val="00394184"/>
    <w:rsid w:val="003951A8"/>
    <w:rsid w:val="003A79E8"/>
    <w:rsid w:val="003C2784"/>
    <w:rsid w:val="003C37CF"/>
    <w:rsid w:val="003E26AB"/>
    <w:rsid w:val="003F54B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8E0EE1"/>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E5A2A"/>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42BB94C-E9A1-443B-BB17-047A5CB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187654">
      <w:marLeft w:val="0"/>
      <w:marRight w:val="0"/>
      <w:marTop w:val="0"/>
      <w:marBottom w:val="0"/>
      <w:divBdr>
        <w:top w:val="none" w:sz="0" w:space="0" w:color="auto"/>
        <w:left w:val="none" w:sz="0" w:space="0" w:color="auto"/>
        <w:bottom w:val="none" w:sz="0" w:space="0" w:color="auto"/>
        <w:right w:val="none" w:sz="0" w:space="0" w:color="auto"/>
      </w:divBdr>
    </w:div>
    <w:div w:id="1979187655">
      <w:marLeft w:val="0"/>
      <w:marRight w:val="0"/>
      <w:marTop w:val="0"/>
      <w:marBottom w:val="0"/>
      <w:divBdr>
        <w:top w:val="none" w:sz="0" w:space="0" w:color="auto"/>
        <w:left w:val="none" w:sz="0" w:space="0" w:color="auto"/>
        <w:bottom w:val="none" w:sz="0" w:space="0" w:color="auto"/>
        <w:right w:val="none" w:sz="0" w:space="0" w:color="auto"/>
      </w:divBdr>
    </w:div>
    <w:div w:id="1979187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9FA4-D171-4C0F-8D46-19642CD1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4</cp:revision>
  <cp:lastPrinted>2016-03-17T16:53:00Z</cp:lastPrinted>
  <dcterms:created xsi:type="dcterms:W3CDTF">2016-03-17T16:47:00Z</dcterms:created>
  <dcterms:modified xsi:type="dcterms:W3CDTF">2016-03-17T16:53:00Z</dcterms:modified>
</cp:coreProperties>
</file>